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Uchwała Nr XIV/97/2015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Rady Gminy i Miasta Szadek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dnia 28 października 2015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sprawie uznania skargi Pani …………. i Pana …………….  na działanie Burmistrza Gminy i Miasta Szadek za bezzasadną.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18 ust. 2 pkt 15 ustawy z dnia 8 marca 1990 r. o samorządzie gminnym (Dz. U. z 2013 r. poz. 594, poz. 645, poz. 1318, z 2014 r. poz. 379, poz. 1072, ) w związku            z art. 229 pkt 3 ustawy z dnia 14 czerwca 1960 r. – Kodeks postępowania administracyjnego           (Dz. U. z 2013 r. poz. 267, z 2014 r. poz. 183, 1195, z 2015 r. poz. 211, 702) Rada Gminy            i Miasta Szadek uchwala się,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1. 1.</w:t>
      </w:r>
      <w:r>
        <w:rPr>
          <w:rFonts w:cs="Times New Roman" w:ascii="Times New Roman" w:hAnsi="Times New Roman"/>
          <w:sz w:val="24"/>
          <w:szCs w:val="24"/>
        </w:rPr>
        <w:t xml:space="preserve">  Skargę Pani …………. i Pana ………………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na działanie Burmistrza Gminy i Miasta Szadek uznaje się za bezzasadną.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Skarga jest bezzasadna z przyczyn  wskazanych w uzasadnieniu do przedmiotowej uchwały, które stanowi jej integralną część.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2.</w:t>
      </w:r>
      <w:r>
        <w:rPr>
          <w:rFonts w:cs="Times New Roman" w:ascii="Times New Roman" w:hAnsi="Times New Roman"/>
          <w:sz w:val="24"/>
          <w:szCs w:val="24"/>
        </w:rPr>
        <w:t xml:space="preserve"> Zobowiązuje się Przewodniczącą Rady Gminy i Miasta Szadek do przekazania Skarżącym niniejszej uchwały wraz z uzasadnieniem.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3.</w:t>
      </w:r>
      <w:r>
        <w:rPr>
          <w:rFonts w:cs="Times New Roman" w:ascii="Times New Roman" w:hAnsi="Times New Roman"/>
          <w:sz w:val="24"/>
          <w:szCs w:val="24"/>
        </w:rPr>
        <w:t xml:space="preserve"> Uchwała wchodzi w życie z dniem podjęcia.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Przewodnicząca Rady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Janina Ogińska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a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2015-11-17T11:19:00Z</dcterms:created>
  <dc:creator>Agata Adamkiewicz</dc:creator>
  <dc:language>pl-PL</dc:language>
  <cp:lastModifiedBy>Agata Adamkiewicz</cp:lastModifiedBy>
  <dcterms:modified xsi:type="dcterms:W3CDTF">2015-11-17T11:19:00Z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